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pkt 3 ustawy z dnia 11 lipca 2014 r. o zasadach realizacji programów w zakresie </w:t>
      </w:r>
      <w:r w:rsidRPr="00F64E9C">
        <w:rPr>
          <w:rFonts w:ascii="Calibri" w:hAnsi="Calibri"/>
          <w:sz w:val="22"/>
          <w:szCs w:val="22"/>
        </w:rPr>
        <w:lastRenderedPageBreak/>
        <w:t>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cross-financingiem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D65CF">
        <w:rPr>
          <w:rFonts w:ascii="Calibri" w:hAnsi="Calibri"/>
          <w:sz w:val="22"/>
          <w:szCs w:val="22"/>
        </w:rPr>
        <w:lastRenderedPageBreak/>
        <w:t>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lastRenderedPageBreak/>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lastRenderedPageBreak/>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lastRenderedPageBreak/>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0"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w związku z realizacją Regionalnego Programu Operacyjnego Województwa Podlaskiego na lata 2014-</w:t>
      </w:r>
      <w:r w:rsidRPr="008A2811">
        <w:rPr>
          <w:rFonts w:ascii="Calibri" w:hAnsi="Calibri"/>
          <w:sz w:val="22"/>
          <w:szCs w:val="22"/>
        </w:rPr>
        <w:lastRenderedPageBreak/>
        <w:t xml:space="preserve">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lastRenderedPageBreak/>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lastRenderedPageBreak/>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1"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w:t>
      </w:r>
      <w:r w:rsidRPr="008A2811">
        <w:rPr>
          <w:rFonts w:ascii="Calibri" w:hAnsi="Calibri"/>
          <w:sz w:val="22"/>
          <w:szCs w:val="22"/>
        </w:rPr>
        <w:lastRenderedPageBreak/>
        <w:t>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bookmarkStart w:id="1" w:name="_GoBack"/>
            <w:bookmarkEnd w:id="1"/>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2"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3"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7B5102" w:rsidRPr="00F64E9C" w:rsidRDefault="007B5102" w:rsidP="00226B9C">
      <w:pPr>
        <w:spacing w:line="276" w:lineRule="auto"/>
        <w:rPr>
          <w:rFonts w:ascii="Calibri" w:hAnsi="Calibri"/>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0"/>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r>
              <w:rPr>
                <w:rFonts w:ascii="Calibri" w:hAnsi="Calibri"/>
                <w:bCs/>
                <w:sz w:val="22"/>
                <w:szCs w:val="22"/>
              </w:rPr>
              <w:t>Planowana data zakończenia edukacji w placówce edukacyjnej, w której skorzystano ze wsparcia</w:t>
            </w:r>
          </w:p>
        </w:tc>
      </w:tr>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4"/>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94" w:rsidRDefault="00875294" w:rsidP="00FE2590">
      <w:r>
        <w:separator/>
      </w:r>
    </w:p>
  </w:endnote>
  <w:endnote w:type="continuationSeparator" w:id="0">
    <w:p w:rsidR="00875294" w:rsidRDefault="00875294"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94" w:rsidRPr="00D42C8B" w:rsidRDefault="00795D07">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AE45A0">
      <w:rPr>
        <w:rFonts w:ascii="Calibri" w:hAnsi="Calibri"/>
        <w:noProof/>
        <w:sz w:val="20"/>
      </w:rPr>
      <w:t>2</w:t>
    </w:r>
    <w:r w:rsidRPr="00D42C8B">
      <w:rPr>
        <w:rFonts w:ascii="Calibri" w:hAnsi="Calibri"/>
        <w:sz w:val="20"/>
      </w:rPr>
      <w:fldChar w:fldCharType="end"/>
    </w:r>
  </w:p>
  <w:p w:rsidR="00875294" w:rsidRDefault="008752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94" w:rsidRDefault="00875294" w:rsidP="00FE2590">
      <w:r>
        <w:separator/>
      </w:r>
    </w:p>
  </w:footnote>
  <w:footnote w:type="continuationSeparator" w:id="0">
    <w:p w:rsidR="00875294" w:rsidRDefault="00875294"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Barwy Rzeczpospolitej Polskiej mogą występować tylko w wersji pełnokolorowej</w:t>
      </w:r>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Partnerem/ami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94" w:rsidRDefault="008752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E45A0"/>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540A-4FAD-4E48-997F-851BD063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14835</Words>
  <Characters>89016</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Banach Łukasz</cp:lastModifiedBy>
  <cp:revision>3</cp:revision>
  <cp:lastPrinted>2019-01-22T07:20:00Z</cp:lastPrinted>
  <dcterms:created xsi:type="dcterms:W3CDTF">2019-01-23T08:18:00Z</dcterms:created>
  <dcterms:modified xsi:type="dcterms:W3CDTF">2019-02-01T09:52:00Z</dcterms:modified>
</cp:coreProperties>
</file>