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82" w:rsidRPr="00614F4B" w:rsidRDefault="00683782" w:rsidP="0068378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lastRenderedPageBreak/>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cross-financing</w:t>
      </w:r>
      <w:r w:rsidR="008D7E52">
        <w:rPr>
          <w:rFonts w:ascii="Calibri" w:hAnsi="Calibri"/>
          <w:sz w:val="22"/>
          <w:szCs w:val="22"/>
        </w:rPr>
        <w:t xml:space="preserve">iem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cross-financingiem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lastRenderedPageBreak/>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lastRenderedPageBreak/>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t>
      </w:r>
      <w:r w:rsidRPr="00A5598F">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 xml:space="preserve">klauzule </w:t>
      </w:r>
      <w:r w:rsidRPr="00293AF1">
        <w:rPr>
          <w:rFonts w:ascii="Calibri" w:eastAsia="Times New Roman" w:hAnsi="Calibri" w:cs="Calibri"/>
          <w:color w:val="000000"/>
          <w:sz w:val="22"/>
          <w:szCs w:val="22"/>
        </w:rPr>
        <w:lastRenderedPageBreak/>
        <w:t>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bookmarkStart w:id="0" w:name="_GoBack"/>
      <w:bookmarkEnd w:id="0"/>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lastRenderedPageBreak/>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lastRenderedPageBreak/>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lastRenderedPageBreak/>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9067BC" w:rsidRPr="00FC702A" w:rsidRDefault="009067BC" w:rsidP="009067BC">
      <w:pPr>
        <w:spacing w:line="276" w:lineRule="auto"/>
        <w:jc w:val="both"/>
        <w:rPr>
          <w:rFonts w:ascii="Calibri" w:hAnsi="Calibri"/>
          <w:b/>
          <w:sz w:val="22"/>
          <w:szCs w:val="22"/>
        </w:rPr>
      </w:pPr>
      <w:bookmarkStart w:id="1"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lastRenderedPageBreak/>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1"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lastRenderedPageBreak/>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2"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3"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4"/>
          <w:pgSz w:w="11906" w:h="16838"/>
          <w:pgMar w:top="709" w:right="991" w:bottom="993" w:left="993" w:header="709" w:footer="403" w:gutter="0"/>
          <w:pgNumType w:fmt="numberInDash"/>
          <w:cols w:space="708"/>
          <w:titlePg/>
          <w:docGrid w:linePitch="360"/>
        </w:sectPr>
      </w:pPr>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1"/>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r>
              <w:rPr>
                <w:rFonts w:ascii="Calibri" w:hAnsi="Calibri"/>
                <w:bCs/>
                <w:sz w:val="22"/>
                <w:szCs w:val="22"/>
              </w:rPr>
              <w:t>Planowana data zakończenia edukacji w placówce edukacyjnej, w której skorzystano ze wsparcia</w:t>
            </w:r>
          </w:p>
        </w:tc>
      </w:tr>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13" w:rsidRDefault="00B61313" w:rsidP="00FE2590">
      <w:r>
        <w:separator/>
      </w:r>
    </w:p>
  </w:endnote>
  <w:endnote w:type="continuationSeparator" w:id="0">
    <w:p w:rsidR="00B61313" w:rsidRDefault="00B61313"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E0" w:rsidRPr="004566D7" w:rsidRDefault="00B245EA">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107453">
      <w:rPr>
        <w:rFonts w:ascii="Calibri" w:hAnsi="Calibri"/>
        <w:noProof/>
        <w:sz w:val="20"/>
        <w:szCs w:val="20"/>
      </w:rPr>
      <w:t>- 17 -</w:t>
    </w:r>
    <w:r w:rsidRPr="004566D7">
      <w:rPr>
        <w:rFonts w:ascii="Calibri" w:hAnsi="Calibri"/>
        <w:sz w:val="20"/>
        <w:szCs w:val="20"/>
      </w:rPr>
      <w:fldChar w:fldCharType="end"/>
    </w:r>
  </w:p>
  <w:p w:rsidR="00473EE0" w:rsidRDefault="00473E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E0" w:rsidRPr="00D42C8B" w:rsidRDefault="00B245EA">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107453">
      <w:rPr>
        <w:rFonts w:ascii="Calibri" w:hAnsi="Calibri"/>
        <w:noProof/>
        <w:sz w:val="20"/>
      </w:rPr>
      <w:t>44</w:t>
    </w:r>
    <w:r w:rsidRPr="00D42C8B">
      <w:rPr>
        <w:rFonts w:ascii="Calibri" w:hAnsi="Calibri"/>
        <w:sz w:val="20"/>
      </w:rPr>
      <w:fldChar w:fldCharType="end"/>
    </w:r>
  </w:p>
  <w:p w:rsidR="00473EE0" w:rsidRDefault="00473E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13" w:rsidRDefault="00B61313" w:rsidP="00FE2590">
      <w:r>
        <w:separator/>
      </w:r>
    </w:p>
  </w:footnote>
  <w:footnote w:type="continuationSeparator" w:id="0">
    <w:p w:rsidR="00B61313" w:rsidRDefault="00B61313" w:rsidP="00FE2590">
      <w:r>
        <w:continuationSeparator/>
      </w:r>
    </w:p>
  </w:footnote>
  <w:footnote w:id="1">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cross-financingiem.</w:t>
      </w:r>
    </w:p>
  </w:footnote>
  <w:footnote w:id="1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minimis. </w:t>
      </w:r>
    </w:p>
  </w:footnote>
  <w:footnote w:id="3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473EE0" w:rsidRPr="002F1875" w:rsidRDefault="00473EE0"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Barwy Rzeczpospolitej Polskiej mogą występować tylko w wersji pełnokolorowej</w:t>
      </w:r>
      <w:r w:rsidRPr="00A5598F">
        <w:rPr>
          <w:rFonts w:ascii="Calibri" w:hAnsi="Calibri"/>
          <w:sz w:val="16"/>
          <w:szCs w:val="16"/>
        </w:rPr>
        <w:t xml:space="preserve"> (zgodnie z ustawą o symbolach państwowych, barwami Rzeczypospolitej Polskiej są kolory biały i czerwony).</w:t>
      </w:r>
    </w:p>
  </w:footnote>
  <w:footnote w:id="4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Partnerem/ami wskazanymi we wniosku. </w:t>
      </w:r>
    </w:p>
  </w:footnote>
  <w:footnote w:id="6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E0" w:rsidRDefault="00473E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E0" w:rsidRDefault="00473E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07453"/>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miir.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925AD-90F9-40CC-B439-E7565B02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13736</Words>
  <Characters>82419</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95964</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Banach Łukasz</cp:lastModifiedBy>
  <cp:revision>3</cp:revision>
  <cp:lastPrinted>2019-01-22T07:13:00Z</cp:lastPrinted>
  <dcterms:created xsi:type="dcterms:W3CDTF">2019-01-23T08:19:00Z</dcterms:created>
  <dcterms:modified xsi:type="dcterms:W3CDTF">2019-02-01T09:53:00Z</dcterms:modified>
</cp:coreProperties>
</file>